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hAnsi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-1403350</wp:posOffset>
            </wp:positionH>
            <wp:positionV relativeFrom="page">
              <wp:posOffset>0</wp:posOffset>
            </wp:positionV>
            <wp:extent cx="7559675" cy="1201951"/>
            <wp:effectExtent l="0" t="0" r="0" b="0"/>
            <wp:wrapTopAndBottom distT="152400" distB="152400"/>
            <wp:docPr id="1073741825" name="officeArt object" descr="шапка-2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шапка-2023.jpg" descr="шапка-202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01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5f5f5f"/>
          <w:sz w:val="20"/>
          <w:szCs w:val="20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 w:hint="default"/>
          <w:outline w:val="0"/>
          <w:color w:val="5f5f5f"/>
          <w:sz w:val="28"/>
          <w:szCs w:val="28"/>
          <w:rtl w:val="0"/>
          <w:lang w:val="ru-RU"/>
          <w14:textFill>
            <w14:solidFill>
              <w14:srgbClr w14:val="606060"/>
            </w14:solidFill>
          </w14:textFill>
        </w:rPr>
        <w:t>Реквизиты компании</w:t>
      </w:r>
    </w:p>
    <w:tbl>
      <w:tblPr>
        <w:tblW w:w="7900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940"/>
        <w:gridCol w:w="3960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Наименование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ОБЩЕСТВО С ОГРАНИЧЕННОЙ ОТВЕТСВЕННОСТЬЮ «СТАЛЬТЕХ»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Юридический и фактический адрес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192102,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г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.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Санкт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Петербург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Волковский пр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кт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д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. 32,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лит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.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А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помещ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.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пом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. 1-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Н 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(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часть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),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помещ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. 133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ИНН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7810384044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КПП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781601001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ОГРН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1157847336679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Дата постановки на учет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5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октября 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2015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г</w:t>
            </w:r>
          </w:p>
        </w:tc>
      </w:tr>
    </w:tbl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5f5f5f"/>
          <w:sz w:val="20"/>
          <w:szCs w:val="20"/>
          <w:rtl w:val="0"/>
          <w14:textFill>
            <w14:solidFill>
              <w14:srgbClr w14:val="606060"/>
            </w14:solidFill>
          </w14:textFill>
        </w:rPr>
      </w:pPr>
    </w:p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cs="Avenir Next Medium" w:hAnsi="Avenir Next Medium" w:eastAsia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</w:p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cs="Avenir Next Medium" w:hAnsi="Avenir Next Medium" w:eastAsia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 w:hint="default"/>
          <w:outline w:val="0"/>
          <w:color w:val="5f5f5f"/>
          <w:sz w:val="28"/>
          <w:szCs w:val="28"/>
          <w:rtl w:val="0"/>
          <w:lang w:val="ru-RU"/>
          <w14:textFill>
            <w14:solidFill>
              <w14:srgbClr w14:val="606060"/>
            </w14:solidFill>
          </w14:textFill>
        </w:rPr>
        <w:t>Банковские реквизиты</w:t>
      </w:r>
    </w:p>
    <w:tbl>
      <w:tblPr>
        <w:tblW w:w="79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40"/>
        <w:gridCol w:w="3960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79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Северо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Западный Банк ПАО СБЕРБАНК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Расчетный счет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40702810155000056370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Корреспондентский счёт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30101810500000000653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БИК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44030653</w:t>
            </w:r>
          </w:p>
        </w:tc>
      </w:tr>
    </w:tbl>
    <w:p>
      <w:pPr>
        <w:pStyle w:val="Основной текст"/>
        <w:bidi w:val="0"/>
        <w:spacing w:after="200"/>
        <w:ind w:left="0" w:right="0" w:firstLine="0"/>
        <w:jc w:val="left"/>
        <w:rPr>
          <w:rFonts w:ascii="Avenir Next Regular" w:cs="Avenir Next Regular" w:hAnsi="Avenir Next Regular" w:eastAsia="Avenir Next Regular"/>
          <w:sz w:val="20"/>
          <w:szCs w:val="20"/>
          <w:rtl w:val="0"/>
        </w:rPr>
      </w:pPr>
    </w:p>
    <w:tbl>
      <w:tblPr>
        <w:tblW w:w="79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40"/>
        <w:gridCol w:w="3960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79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ФИЛИАЛ 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"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САНКТ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ПЕТЕРБУРГСКИЙ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"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АО 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"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АЛЬФА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-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БАНК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"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Расчетный счет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40702810832410015584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Корреспондентский счёт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30101810600000000786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БИК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44030786</w:t>
            </w:r>
          </w:p>
        </w:tc>
      </w:tr>
    </w:tbl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cs="Avenir Next Medium" w:hAnsi="Avenir Next Medium" w:eastAsia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</w:p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cs="Avenir Next Medium" w:hAnsi="Avenir Next Medium" w:eastAsia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</w:p>
    <w:p>
      <w:pPr>
        <w:pStyle w:val="Основной текст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bidi w:val="0"/>
        <w:spacing w:line="288" w:lineRule="auto"/>
        <w:ind w:left="0" w:right="0" w:firstLine="0"/>
        <w:jc w:val="left"/>
        <w:rPr>
          <w:rFonts w:ascii="Avenir Next Medium" w:cs="Avenir Next Medium" w:hAnsi="Avenir Next Medium" w:eastAsia="Avenir Next Medium"/>
          <w:outline w:val="0"/>
          <w:color w:val="5f5f5f"/>
          <w:sz w:val="28"/>
          <w:szCs w:val="28"/>
          <w:rtl w:val="0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 w:hint="default"/>
          <w:outline w:val="0"/>
          <w:color w:val="5f5f5f"/>
          <w:sz w:val="28"/>
          <w:szCs w:val="28"/>
          <w:rtl w:val="0"/>
          <w:lang w:val="ru-RU"/>
          <w14:textFill>
            <w14:solidFill>
              <w14:srgbClr w14:val="606060"/>
            </w14:solidFill>
          </w14:textFill>
        </w:rPr>
        <w:t>Контактная информация</w:t>
      </w:r>
    </w:p>
    <w:tbl>
      <w:tblPr>
        <w:tblW w:w="7900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40"/>
        <w:gridCol w:w="3960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Почтовый адрес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192102,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г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.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Санкт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-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Петербург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, 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а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/</w:t>
            </w: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 xml:space="preserve">я </w:t>
            </w: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Телефон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+7 (812) 448 68 19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Email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instrText xml:space="preserve"> HYPERLINK "mailto:info@steel-t.ru"</w:instrText>
            </w: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venir Next Regular" w:hAnsi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t>info@steel-t.ru</w:t>
            </w:r>
            <w:r>
              <w:rPr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94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 w:hint="default"/>
                <w:outline w:val="0"/>
                <w:color w:val="5f5f5f"/>
                <w:rtl w:val="0"/>
                <w14:textFill>
                  <w14:solidFill>
                    <w14:srgbClr w14:val="606060"/>
                  </w14:solidFill>
                </w14:textFill>
              </w:rPr>
              <w:t>Сайт</w:t>
            </w: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instrText xml:space="preserve"> HYPERLINK "http://www.steel-t.ru"</w:instrText>
            </w:r>
            <w:r>
              <w:rPr>
                <w:rStyle w:val="Hyperlink.0"/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venir Next Regular" w:hAnsi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t>www.steel-t.ru</w:t>
            </w:r>
            <w:r>
              <w:rPr>
                <w:rFonts w:ascii="Avenir Next Regular" w:cs="Avenir Next Regular" w:hAnsi="Avenir Next Regular" w:eastAsia="Avenir Next Regular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606060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Основной текст"/>
        <w:bidi w:val="0"/>
        <w:spacing w:after="200"/>
        <w:ind w:left="0" w:right="0" w:firstLine="0"/>
        <w:jc w:val="right"/>
        <w:rPr>
          <w:rFonts w:ascii="Avenir Next Regular" w:cs="Avenir Next Regular" w:hAnsi="Avenir Next Regular" w:eastAsia="Avenir Next Regular"/>
          <w:sz w:val="20"/>
          <w:szCs w:val="20"/>
          <w:rtl w:val="0"/>
        </w:rPr>
      </w:pPr>
    </w:p>
    <w:p>
      <w:pPr>
        <w:pStyle w:val="Основной текст"/>
        <w:bidi w:val="0"/>
        <w:spacing w:after="200"/>
        <w:ind w:left="0" w:right="0" w:firstLine="0"/>
        <w:jc w:val="right"/>
        <w:rPr>
          <w:rFonts w:ascii="Avenir Next Regular" w:cs="Avenir Next Regular" w:hAnsi="Avenir Next Regular" w:eastAsia="Avenir Next Regular"/>
          <w:sz w:val="20"/>
          <w:szCs w:val="20"/>
          <w:rtl w:val="0"/>
        </w:rPr>
      </w:pPr>
    </w:p>
    <w:p>
      <w:pPr>
        <w:pStyle w:val="Основной текст"/>
        <w:bidi w:val="0"/>
        <w:spacing w:after="200"/>
        <w:ind w:left="0" w:right="0" w:firstLine="0"/>
        <w:jc w:val="right"/>
        <w:rPr>
          <w:rtl w:val="0"/>
        </w:rPr>
      </w:pPr>
      <w:r>
        <w:rPr>
          <w:rFonts w:ascii="Avenir Next Regular" w:hAnsi="Avenir Next Regular" w:hint="default"/>
          <w:sz w:val="20"/>
          <w:szCs w:val="20"/>
          <w:rtl w:val="0"/>
          <w:lang w:val="ru-RU"/>
        </w:rPr>
        <w:t>Генеральный директор Трофимук В</w:t>
      </w:r>
      <w:r>
        <w:rPr>
          <w:rFonts w:ascii="Avenir Next Regular" w:hAnsi="Avenir Next Regular"/>
          <w:sz w:val="20"/>
          <w:szCs w:val="20"/>
          <w:rtl w:val="0"/>
        </w:rPr>
        <w:t>.</w:t>
      </w:r>
      <w:r>
        <w:rPr>
          <w:rFonts w:ascii="Avenir Next Regular" w:hAnsi="Avenir Next Regular" w:hint="default"/>
          <w:sz w:val="20"/>
          <w:szCs w:val="20"/>
          <w:rtl w:val="0"/>
        </w:rPr>
        <w:t>А</w:t>
      </w:r>
      <w:r>
        <w:rPr>
          <w:rFonts w:ascii="Avenir Next Regular" w:hAnsi="Avenir Next Regular"/>
          <w:sz w:val="20"/>
          <w:szCs w:val="20"/>
          <w:rtl w:val="0"/>
        </w:rPr>
        <w:t>.</w:t>
      </w:r>
    </w:p>
    <w:sectPr>
      <w:headerReference w:type="default" r:id="rId5"/>
      <w:footerReference w:type="default" r:id="rId6"/>
      <w:pgSz w:w="11905" w:h="16837" w:orient="portrait"/>
      <w:pgMar w:top="0" w:right="1800" w:bottom="1440" w:left="22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